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445266"/>
          <w:sz w:val="34"/>
        </w:rPr>
        <w:t>SCHEDA DI OSSERVAZIONE</w:t>
      </w:r>
    </w:p>
    <w:p>
      <w:pPr>
        <w:spacing w:after="200"/>
      </w:pPr>
      <w:r>
        <w:rPr>
          <w:b w:val="0"/>
          <w:color w:val="69737E"/>
          <w:sz w:val="22"/>
        </w:rPr>
        <w:t>Serve a guardare, prima di decidere cosa fare. Resta a scuola.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DCD6C9"/>
          <w:left w:val="single" w:sz="4" w:color="DCD6C9"/>
          <w:bottom w:val="single" w:sz="4" w:color="DCD6C9"/>
          <w:right w:val="single" w:sz="4" w:color="DCD6C9"/>
          <w:insideH w:val="single" w:sz="4" w:color="DCD6C9"/>
          <w:insideV w:val="single" w:sz="4" w:color="DCD6C9"/>
        </w:tblBorders>
        <w:tblLayout w:type="fixed"/>
      </w:tblPr>
      <w:tblGrid>
        <w:gridCol w:w="3628"/>
        <w:gridCol w:w="2948"/>
        <w:gridCol w:w="3061"/>
      </w:tblGrid>
      <w:tr>
        <w:tc>
          <w:tcPr>
            <w:tcW w:type="dxa" w:w="3628"/>
          </w:tcPr>
          <w:p>
            <w:pPr>
              <w:spacing w:after="60" w:before="60"/>
            </w:pPr>
            <w:r/>
            <w:r>
              <w:rPr>
                <w:b w:val="0"/>
                <w:color w:val="69737E"/>
                <w:sz w:val="20"/>
              </w:rPr>
              <w:t>Bambino</w:t>
            </w:r>
          </w:p>
        </w:tc>
        <w:tc>
          <w:tcPr>
            <w:tcW w:type="dxa" w:w="2948"/>
          </w:tcPr>
          <w:p>
            <w:pPr>
              <w:spacing w:after="60" w:before="60"/>
            </w:pPr>
            <w:r/>
            <w:r>
              <w:rPr>
                <w:b w:val="0"/>
                <w:color w:val="69737E"/>
                <w:sz w:val="20"/>
              </w:rPr>
              <w:t>Classe o sezione</w:t>
            </w:r>
          </w:p>
        </w:tc>
        <w:tc>
          <w:tcPr>
            <w:tcW w:type="dxa" w:w="3061"/>
          </w:tcPr>
          <w:p>
            <w:pPr>
              <w:spacing w:after="60" w:before="60"/>
            </w:pPr>
            <w:r/>
            <w:r>
              <w:rPr>
                <w:b w:val="0"/>
                <w:color w:val="69737E"/>
                <w:sz w:val="20"/>
              </w:rPr>
              <w:t>Chi osserva</w:t>
            </w:r>
          </w:p>
        </w:tc>
      </w:tr>
      <w:tr>
        <w:tc>
          <w:tcPr>
            <w:tcW w:type="dxa" w:w="3628"/>
          </w:tcPr>
          <w:p>
            <w:pPr>
              <w:spacing w:after="60" w:before="60"/>
            </w:pPr>
            <w:r/>
            <w:r>
              <w:rPr>
                <w:b w:val="0"/>
                <w:color w:val="69737E"/>
                <w:sz w:val="20"/>
              </w:rPr>
              <w:t>Momento osservato</w:t>
            </w:r>
          </w:p>
        </w:tc>
        <w:tc>
          <w:tcPr>
            <w:tcW w:type="dxa" w:w="2948"/>
          </w:tcPr>
          <w:p>
            <w:pPr>
              <w:spacing w:after="60" w:before="60"/>
            </w:pPr>
            <w:r/>
            <w:r>
              <w:rPr>
                <w:b w:val="0"/>
                <w:color w:val="69737E"/>
                <w:sz w:val="20"/>
              </w:rPr>
              <w:t>Contesto: □ strutturato  □ libero</w:t>
            </w:r>
          </w:p>
        </w:tc>
        <w:tc>
          <w:tcPr>
            <w:tcW w:type="dxa" w:w="3061"/>
          </w:tcPr>
          <w:p>
            <w:pPr>
              <w:spacing w:after="60" w:before="60"/>
            </w:pPr>
            <w:r/>
            <w:r>
              <w:rPr>
                <w:b w:val="0"/>
                <w:color w:val="69737E"/>
                <w:sz w:val="20"/>
              </w:rPr>
              <w:t>Dal ____ al ____</w:t>
            </w:r>
          </w:p>
        </w:tc>
      </w:tr>
    </w:tbl>
    <w:p/>
    <w:p>
      <w:pPr>
        <w:spacing w:after="160"/>
      </w:pPr>
      <w:r>
        <w:rPr>
          <w:b/>
          <w:sz w:val="22"/>
        </w:rPr>
        <w:t>Una barretta ogni volta che il comportamento accade.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DCD6C9"/>
          <w:left w:val="single" w:sz="4" w:color="DCD6C9"/>
          <w:bottom w:val="single" w:sz="4" w:color="DCD6C9"/>
          <w:right w:val="single" w:sz="4" w:color="DCD6C9"/>
          <w:insideH w:val="single" w:sz="4" w:color="DCD6C9"/>
          <w:insideV w:val="single" w:sz="4" w:color="DCD6C9"/>
        </w:tblBorders>
        <w:tblLayout w:type="fixed"/>
      </w:tblPr>
      <w:tblGrid>
        <w:gridCol w:w="2835"/>
        <w:gridCol w:w="1191"/>
        <w:gridCol w:w="1191"/>
        <w:gridCol w:w="1191"/>
        <w:gridCol w:w="1191"/>
        <w:gridCol w:w="1191"/>
        <w:gridCol w:w="907"/>
      </w:tblGrid>
      <w:tr>
        <w:tc>
          <w:tcPr>
            <w:tcW w:type="dxa" w:w="2835"/>
          </w:tcPr>
          <w:p>
            <w:pPr>
              <w:spacing w:after="60" w:before="60"/>
            </w:pPr>
            <w:r/>
            <w:r>
              <w:rPr>
                <w:b/>
                <w:color w:val="445266"/>
                <w:sz w:val="20"/>
              </w:rPr>
              <w:t>Comportamento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/>
                <w:color w:val="445266"/>
                <w:sz w:val="20"/>
              </w:rPr>
              <w:t>Lun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/>
                <w:color w:val="445266"/>
                <w:sz w:val="20"/>
              </w:rPr>
              <w:t>Mar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/>
                <w:color w:val="445266"/>
                <w:sz w:val="20"/>
              </w:rPr>
              <w:t>Mer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/>
                <w:color w:val="445266"/>
                <w:sz w:val="20"/>
              </w:rPr>
              <w:t>Gio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/>
                <w:color w:val="445266"/>
                <w:sz w:val="20"/>
              </w:rPr>
              <w:t>Ven</w:t>
            </w:r>
          </w:p>
        </w:tc>
        <w:tc>
          <w:tcPr>
            <w:tcW w:type="dxa" w:w="907"/>
          </w:tcPr>
          <w:p>
            <w:pPr>
              <w:spacing w:after="60" w:before="60"/>
              <w:jc w:val="center"/>
            </w:pPr>
            <w:r/>
            <w:r>
              <w:rPr>
                <w:b/>
                <w:color w:val="445266"/>
                <w:sz w:val="20"/>
              </w:rPr>
              <w:t>Tot.</w:t>
            </w:r>
          </w:p>
        </w:tc>
      </w:tr>
      <w:tr>
        <w:tc>
          <w:tcPr>
            <w:tcW w:type="dxa" w:w="2835"/>
          </w:tcPr>
          <w:p>
            <w:pPr>
              <w:spacing w:after="160" w:before="160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907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2835"/>
          </w:tcPr>
          <w:p>
            <w:pPr>
              <w:spacing w:after="160" w:before="160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907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2835"/>
          </w:tcPr>
          <w:p>
            <w:pPr>
              <w:spacing w:after="160" w:before="160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907"/>
          </w:tcPr>
          <w:p>
            <w:pPr>
              <w:spacing w:after="160" w:before="1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2835"/>
          </w:tcPr>
          <w:p>
            <w:pPr>
              <w:spacing w:after="60" w:before="60"/>
            </w:pPr>
            <w:r/>
            <w:r>
              <w:rPr>
                <w:b/>
                <w:color w:val="445266"/>
                <w:sz w:val="20"/>
              </w:rPr>
              <w:t>Totale del giorno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191"/>
          </w:tcPr>
          <w:p>
            <w:pPr>
              <w:spacing w:after="60" w:before="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907"/>
          </w:tcPr>
          <w:p>
            <w:pPr>
              <w:spacing w:after="60" w:before="60"/>
              <w:jc w:val="center"/>
            </w:pPr>
            <w:r/>
            <w:r>
              <w:rPr>
                <w:b w:val="0"/>
                <w:sz w:val="20"/>
              </w:rPr>
              <w:t xml:space="preserve"> </w:t>
            </w:r>
          </w:p>
        </w:tc>
      </w:tr>
    </w:tbl>
    <w:p/>
    <w:p>
      <w:pPr>
        <w:spacing w:after="200"/>
      </w:pPr>
      <w:r>
        <w:rPr>
          <w:b w:val="0"/>
          <w:color w:val="69737E"/>
          <w:sz w:val="21"/>
        </w:rPr>
        <w:t>Il totale di riga dice quale comportamento è più frequente. Il totale di colonna dice quale giornata è andata peggio, e spesso è più utile del primo.</w:t>
      </w:r>
    </w:p>
    <w:p>
      <w:pPr>
        <w:spacing w:before="160" w:after="100"/>
      </w:pPr>
      <w:r>
        <w:rPr>
          <w:b/>
          <w:color w:val="445266"/>
          <w:sz w:val="24"/>
        </w:rPr>
        <w:t>Che cosa noto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DCD6C9"/>
          <w:left w:val="single" w:sz="4" w:color="DCD6C9"/>
          <w:bottom w:val="single" w:sz="4" w:color="DCD6C9"/>
          <w:right w:val="single" w:sz="4" w:color="DCD6C9"/>
          <w:insideH w:val="single" w:sz="4" w:color="DCD6C9"/>
          <w:insideV w:val="single" w:sz="4" w:color="DCD6C9"/>
        </w:tblBorders>
      </w:tblPr>
      <w:tblGrid>
        <w:gridCol w:w="10312"/>
      </w:tblGrid>
      <w:tr>
        <w:tc>
          <w:tcPr>
            <w:tcW w:type="dxa" w:w="10312"/>
          </w:tcPr>
          <w:p>
            <w:pPr>
              <w:spacing w:after="60" w:before="60"/>
            </w:pPr>
            <w:r/>
            <w:r>
              <w:rPr>
                <w:b w:val="0"/>
                <w:sz w:val="21"/>
              </w:rPr>
              <w:br/>
              <w:br/>
            </w:r>
          </w:p>
        </w:tc>
      </w:tr>
    </w:tbl>
    <w:p/>
    <w:p>
      <w:r>
        <w:br w:type="page"/>
      </w:r>
    </w:p>
    <w:p>
      <w:pPr>
        <w:spacing w:after="200"/>
      </w:pPr>
      <w:r>
        <w:rPr>
          <w:b/>
          <w:color w:val="445266"/>
          <w:sz w:val="34"/>
        </w:rPr>
        <w:t>Come si usa</w:t>
      </w:r>
    </w:p>
    <w:p>
      <w:pPr>
        <w:spacing w:before="80" w:after="100"/>
      </w:pPr>
      <w:r>
        <w:rPr>
          <w:b/>
          <w:color w:val="445266"/>
          <w:sz w:val="26"/>
        </w:rPr>
        <w:t>A cosa serve</w:t>
      </w:r>
    </w:p>
    <w:p>
      <w:pPr>
        <w:spacing w:after="120"/>
      </w:pPr>
      <w:r>
        <w:rPr>
          <w:b w:val="0"/>
          <w:sz w:val="22"/>
        </w:rPr>
        <w:t>Nelle prime settimane non si sa ancora che cosa provare. Questa scheda serve a sapere quanto spesso una cosa succede davvero, che è spesso diverso da quanto sembra. Dopo due settimane si sceglie una strategia, e da lì in avanti si usa la scheda settimanale.</w:t>
      </w:r>
    </w:p>
    <w:p>
      <w:pPr>
        <w:spacing w:before="260" w:after="100"/>
      </w:pPr>
      <w:r>
        <w:rPr>
          <w:b/>
          <w:color w:val="445266"/>
          <w:sz w:val="26"/>
        </w:rPr>
        <w:t>Come si scelgono i tre comportamenti</w:t>
      </w:r>
    </w:p>
    <w:p>
      <w:pPr>
        <w:spacing w:after="120"/>
      </w:pPr>
      <w:r>
        <w:rPr>
          <w:b w:val="0"/>
          <w:sz w:val="22"/>
        </w:rPr>
        <w:t>Devono essere cose che si vedono. «Disattento» non si registra; «si volta quando qualcuno entra» sì. Nella scheda «Che cosa osservare» ci sono gli esempi, ordinati per manifestazione.</w:t>
      </w:r>
    </w:p>
    <w:p>
      <w:pPr>
        <w:spacing w:after="120"/>
      </w:pPr>
      <w:r>
        <w:rPr>
          <w:b w:val="0"/>
          <w:sz w:val="22"/>
        </w:rPr>
        <w:t>Si contano quelli che servono a capire. Se il problema è che si alza, si contano le alzate: in questa fase non si sta premiando niente, si sta guardando. Quando poi si sceglie che cosa provare, il comportamento si riscrive nella forma che si vuole ottenere.</w:t>
      </w:r>
    </w:p>
    <w:p>
      <w:pPr>
        <w:spacing w:before="260" w:after="100"/>
      </w:pPr>
      <w:r>
        <w:rPr>
          <w:b/>
          <w:color w:val="445266"/>
          <w:sz w:val="26"/>
        </w:rPr>
        <w:t>Quando osservare</w:t>
      </w:r>
    </w:p>
    <w:p>
      <w:pPr>
        <w:pStyle w:val="ListBullet"/>
        <w:spacing w:after="60"/>
      </w:pPr>
      <w:r>
        <w:rPr>
          <w:sz w:val="22"/>
        </w:rPr>
        <w:t>Trenta minuti al giorno bastano, anche divisi in due intervalli da quindici.</w:t>
      </w:r>
    </w:p>
    <w:p>
      <w:pPr>
        <w:pStyle w:val="ListBullet"/>
        <w:spacing w:after="60"/>
      </w:pPr>
      <w:r>
        <w:rPr>
          <w:sz w:val="22"/>
        </w:rPr>
        <w:t>Cambiate il momento di giorno in giorno: il lunedì la prima ora, il martedì l'ultima, il mercoledì dopo la ricreazione.</w:t>
      </w:r>
    </w:p>
    <w:p>
      <w:pPr>
        <w:pStyle w:val="ListBullet"/>
        <w:spacing w:after="60"/>
      </w:pPr>
      <w:r>
        <w:rPr>
          <w:sz w:val="22"/>
        </w:rPr>
        <w:t>Serve a vedere se il comportamento dipende dall'ora e dalla stanchezza, cosa che accade spesso.</w:t>
      </w:r>
    </w:p>
    <w:p>
      <w:pPr>
        <w:pStyle w:val="ListBullet"/>
        <w:spacing w:after="60"/>
      </w:pPr>
      <w:r>
        <w:rPr>
          <w:sz w:val="22"/>
        </w:rPr>
        <w:t>Segnate mentre accade. A fine giornata nessuno ricorda quante volte è successo alle nove.</w:t>
      </w:r>
    </w:p>
    <w:p>
      <w:pPr>
        <w:spacing w:before="260" w:after="100"/>
      </w:pPr>
      <w:r>
        <w:rPr>
          <w:b/>
          <w:color w:val="445266"/>
          <w:sz w:val="26"/>
        </w:rPr>
        <w:t>Il contesto</w:t>
      </w:r>
    </w:p>
    <w:p>
      <w:pPr>
        <w:spacing w:after="120"/>
      </w:pPr>
      <w:r>
        <w:rPr>
          <w:b w:val="0"/>
          <w:sz w:val="22"/>
        </w:rPr>
        <w:t>Un'attività strutturata e guidata dall'adulto sostiene la regolazione; un momento libero la mette alla prova. Lo stesso bambino può sembrare due bambini diversi. Se osservate entrambe le situazioni, quella differenza è l'informazione più utile che raccogliete, e serve anche quando si parla con la famiglia.</w:t>
      </w:r>
    </w:p>
    <w:p>
      <w:pPr>
        <w:spacing w:after="40"/>
      </w:pPr>
      <w:r>
        <w:rPr>
          <w:b w:val="0"/>
          <w:color w:val="69737E"/>
          <w:sz w:val="18"/>
        </w:rPr>
        <w:t>Centro Archimede S.r.l. · Via Longare 1, Torri di Quartesolo (VI) · 0444.387387 · info@cdarchimede.it · Revisione: 1 settembre 2026</w:t>
      </w:r>
    </w:p>
    <w:sectPr w:rsidR="00FC693F" w:rsidRPr="0006063C" w:rsidSect="00034616">
      <w:pgSz w:w="12240" w:h="15840"/>
      <w:pgMar w:top="850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